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349" w:rsidRPr="00FE18FB" w:rsidRDefault="003F7349" w:rsidP="003F7349">
      <w:pPr>
        <w:spacing w:line="360" w:lineRule="auto"/>
        <w:rPr>
          <w:rStyle w:val="Seitenzahl"/>
          <w:b/>
        </w:rPr>
      </w:pPr>
      <w:bookmarkStart w:id="0" w:name="_GoBack"/>
      <w:bookmarkEnd w:id="0"/>
      <w:r>
        <w:rPr>
          <w:rStyle w:val="Seitenzahl"/>
          <w:b/>
        </w:rPr>
        <w:t>Annex PAGoDA</w:t>
      </w:r>
      <w:r w:rsidR="009614AD">
        <w:rPr>
          <w:rStyle w:val="Seitenzahl"/>
          <w:b/>
        </w:rPr>
        <w:t>:</w:t>
      </w:r>
      <w:r>
        <w:rPr>
          <w:rStyle w:val="Seitenzahl"/>
          <w:b/>
        </w:rPr>
        <w:t xml:space="preserve"> Supplement</w:t>
      </w:r>
      <w:r w:rsidR="009614AD">
        <w:rPr>
          <w:rStyle w:val="Seitenzahl"/>
          <w:b/>
        </w:rPr>
        <w:t>s</w:t>
      </w:r>
      <w:r>
        <w:rPr>
          <w:rStyle w:val="Seitenzahl"/>
          <w:b/>
        </w:rPr>
        <w:t xml:space="preserve"> to the </w:t>
      </w:r>
      <w:r w:rsidR="009614AD">
        <w:rPr>
          <w:rStyle w:val="Seitenzahl"/>
          <w:b/>
        </w:rPr>
        <w:t>‘</w:t>
      </w:r>
      <w:r>
        <w:rPr>
          <w:rStyle w:val="Seitenzahl"/>
          <w:b/>
        </w:rPr>
        <w:t>General terms and conditions of contract (Terms and Conditions) for supplying services and work on behalf of the Deutsche Gesellschaft für Internationale Zusammenarbeit (GIZ) GmbH</w:t>
      </w:r>
      <w:r w:rsidR="009614AD">
        <w:rPr>
          <w:rStyle w:val="Seitenzahl"/>
          <w:b/>
        </w:rPr>
        <w:t>’</w:t>
      </w:r>
      <w:r>
        <w:rPr>
          <w:rStyle w:val="Seitenzahl"/>
          <w:b/>
        </w:rPr>
        <w:t xml:space="preserve"> (August 2014) </w:t>
      </w:r>
    </w:p>
    <w:p w:rsidR="003F7349" w:rsidRDefault="003F7349" w:rsidP="003F7349">
      <w:pPr>
        <w:spacing w:line="360" w:lineRule="auto"/>
        <w:rPr>
          <w:rStyle w:val="Seitenzahl"/>
        </w:rPr>
      </w:pPr>
    </w:p>
    <w:p w:rsidR="003F7349" w:rsidRDefault="003F7349" w:rsidP="003F7349">
      <w:pPr>
        <w:spacing w:line="360" w:lineRule="auto"/>
        <w:rPr>
          <w:rStyle w:val="Seitenzahl"/>
        </w:rPr>
      </w:pPr>
      <w:r>
        <w:rPr>
          <w:rStyle w:val="Seitenzahl"/>
        </w:rPr>
        <w:t xml:space="preserve">The contract between GIZ and the contractor is based in turn on a </w:t>
      </w:r>
      <w:r w:rsidRPr="004F68D7">
        <w:rPr>
          <w:rStyle w:val="Seitenzahl"/>
        </w:rPr>
        <w:t>cofinancing agreement</w:t>
      </w:r>
      <w:r>
        <w:rPr>
          <w:rStyle w:val="Seitenzahl"/>
        </w:rPr>
        <w:t xml:space="preserve"> between GIZ and the European Commission. </w:t>
      </w:r>
    </w:p>
    <w:p w:rsidR="003F7349" w:rsidRDefault="003F7349" w:rsidP="003F7349">
      <w:pPr>
        <w:spacing w:line="360" w:lineRule="auto"/>
        <w:rPr>
          <w:color w:val="222222"/>
        </w:rPr>
      </w:pPr>
      <w:r>
        <w:rPr>
          <w:rStyle w:val="Seitenzahl"/>
        </w:rPr>
        <w:t>Under the terms of this master agreement (Pillar Assessed Grant or Delegation Agreement), GIZ is required to impose a number of additional obligations on the contractor beyond those specified in GIZ</w:t>
      </w:r>
      <w:r w:rsidR="009614AD">
        <w:rPr>
          <w:rStyle w:val="Seitenzahl"/>
        </w:rPr>
        <w:t>’</w:t>
      </w:r>
      <w:r>
        <w:rPr>
          <w:rStyle w:val="Seitenzahl"/>
        </w:rPr>
        <w:t xml:space="preserve">s Terms and Conditions; details of these additional obligations can be found in the document entitled </w:t>
      </w:r>
      <w:r w:rsidR="009614AD">
        <w:rPr>
          <w:rStyle w:val="Seitenzahl"/>
        </w:rPr>
        <w:t>‘</w:t>
      </w:r>
      <w:r>
        <w:rPr>
          <w:rStyle w:val="Seitenzahl"/>
        </w:rPr>
        <w:t>PAGoDA 2 General Conditions (Annex II)</w:t>
      </w:r>
      <w:r w:rsidR="009614AD">
        <w:rPr>
          <w:rStyle w:val="Seitenzahl"/>
        </w:rPr>
        <w:t>’</w:t>
      </w:r>
      <w:r>
        <w:rPr>
          <w:rStyle w:val="Seitenzahl"/>
        </w:rPr>
        <w:t xml:space="preserve"> (</w:t>
      </w:r>
      <w:r w:rsidR="00255060">
        <w:rPr>
          <w:rStyle w:val="Seitenzahl"/>
        </w:rPr>
        <w:t>hereinafter referred to as ‘</w:t>
      </w:r>
      <w:r>
        <w:rPr>
          <w:rStyle w:val="Seitenzahl"/>
        </w:rPr>
        <w:t>General Conditions</w:t>
      </w:r>
      <w:r w:rsidR="00255060">
        <w:rPr>
          <w:rStyle w:val="Seitenzahl"/>
        </w:rPr>
        <w:t>’</w:t>
      </w:r>
      <w:r>
        <w:rPr>
          <w:rStyle w:val="Seitenzahl"/>
        </w:rPr>
        <w:t xml:space="preserve">) at </w:t>
      </w:r>
      <w:hyperlink r:id="rId8" w:history="1">
        <w:r>
          <w:rPr>
            <w:rStyle w:val="Hyperlink"/>
          </w:rPr>
          <w:t>http://ec.europa.eu/europeaid/companion/annexes.do</w:t>
        </w:r>
      </w:hyperlink>
      <w:r>
        <w:rPr>
          <w:color w:val="222222"/>
        </w:rPr>
        <w:t>.</w:t>
      </w:r>
    </w:p>
    <w:p w:rsidR="003F7349" w:rsidRDefault="003F7349" w:rsidP="003F7349">
      <w:pPr>
        <w:spacing w:line="360" w:lineRule="auto"/>
        <w:rPr>
          <w:color w:val="222222"/>
        </w:rPr>
      </w:pPr>
    </w:p>
    <w:p w:rsidR="003F7349" w:rsidRDefault="003F7349" w:rsidP="003F7349">
      <w:pPr>
        <w:spacing w:line="360" w:lineRule="auto"/>
        <w:rPr>
          <w:color w:val="222222"/>
        </w:rPr>
      </w:pPr>
      <w:r>
        <w:rPr>
          <w:color w:val="222222"/>
        </w:rPr>
        <w:t>On this basis, the following supplements apply to GIZ</w:t>
      </w:r>
      <w:r w:rsidR="009614AD">
        <w:rPr>
          <w:color w:val="222222"/>
        </w:rPr>
        <w:t>’</w:t>
      </w:r>
      <w:r>
        <w:rPr>
          <w:color w:val="222222"/>
        </w:rPr>
        <w:t xml:space="preserve">s Terms and Conditions: </w:t>
      </w:r>
    </w:p>
    <w:p w:rsidR="003F7349" w:rsidRDefault="003F7349" w:rsidP="003F7349">
      <w:pPr>
        <w:spacing w:line="360" w:lineRule="auto"/>
        <w:rPr>
          <w:color w:val="222222"/>
        </w:rPr>
      </w:pPr>
    </w:p>
    <w:p w:rsidR="003F7349" w:rsidRPr="004F58BC" w:rsidRDefault="003F7349" w:rsidP="003F7349">
      <w:pPr>
        <w:spacing w:line="360" w:lineRule="auto"/>
        <w:rPr>
          <w:color w:val="222222"/>
        </w:rPr>
      </w:pPr>
      <w:r>
        <w:rPr>
          <w:color w:val="222222"/>
          <w:u w:val="single"/>
        </w:rPr>
        <w:t xml:space="preserve">Item 1.6 </w:t>
      </w:r>
      <w:r w:rsidR="009614AD">
        <w:rPr>
          <w:color w:val="222222"/>
          <w:u w:val="single"/>
        </w:rPr>
        <w:t>‘</w:t>
      </w:r>
      <w:r>
        <w:rPr>
          <w:color w:val="222222"/>
          <w:u w:val="single"/>
        </w:rPr>
        <w:t>Requirement for GIZ</w:t>
      </w:r>
      <w:r w:rsidR="009614AD">
        <w:rPr>
          <w:color w:val="222222"/>
          <w:u w:val="single"/>
          <w:cs/>
        </w:rPr>
        <w:t>’</w:t>
      </w:r>
      <w:r>
        <w:rPr>
          <w:color w:val="222222"/>
          <w:u w:val="single"/>
        </w:rPr>
        <w:t>s approval for publications</w:t>
      </w:r>
      <w:r w:rsidR="009614AD">
        <w:rPr>
          <w:color w:val="222222"/>
          <w:u w:val="single"/>
        </w:rPr>
        <w:t>’</w:t>
      </w:r>
      <w:r>
        <w:rPr>
          <w:color w:val="222222"/>
        </w:rPr>
        <w:t xml:space="preserve"> is supplemented as follows:</w:t>
      </w:r>
    </w:p>
    <w:p w:rsidR="003F7349" w:rsidRPr="00721E27" w:rsidRDefault="003F7349" w:rsidP="003F7349">
      <w:pPr>
        <w:spacing w:line="360" w:lineRule="auto"/>
        <w:rPr>
          <w:color w:val="222222"/>
        </w:rPr>
      </w:pPr>
      <w:r>
        <w:t xml:space="preserve">The </w:t>
      </w:r>
      <w:r>
        <w:rPr>
          <w:color w:val="222222"/>
        </w:rPr>
        <w:t xml:space="preserve">contractor </w:t>
      </w:r>
      <w:r w:rsidR="009614AD">
        <w:rPr>
          <w:color w:val="222222"/>
        </w:rPr>
        <w:t xml:space="preserve">shall </w:t>
      </w:r>
      <w:r>
        <w:rPr>
          <w:color w:val="222222"/>
        </w:rPr>
        <w:t xml:space="preserve">also ensure that all </w:t>
      </w:r>
      <w:r w:rsidR="009614AD">
        <w:rPr>
          <w:color w:val="222222"/>
        </w:rPr>
        <w:t xml:space="preserve">its </w:t>
      </w:r>
      <w:r>
        <w:rPr>
          <w:color w:val="222222"/>
        </w:rPr>
        <w:t>publicity, communication and visibility measures comply with Article 8 of the General Conditions and with the latest version of the</w:t>
      </w:r>
      <w:r>
        <w:t xml:space="preserve"> Communication and Visibility Manual for EU External Actions</w:t>
      </w:r>
      <w:r>
        <w:rPr>
          <w:color w:val="222222"/>
        </w:rPr>
        <w:t xml:space="preserve">, which can be downloaded from </w:t>
      </w:r>
      <w:hyperlink r:id="rId9" w:history="1">
        <w:r>
          <w:rPr>
            <w:rStyle w:val="Hyperlink"/>
          </w:rPr>
          <w:t>http://ec.europa.eu/europeaid/node/17974</w:t>
        </w:r>
      </w:hyperlink>
      <w:r>
        <w:rPr>
          <w:color w:val="222222"/>
        </w:rPr>
        <w:t xml:space="preserve">. </w:t>
      </w:r>
    </w:p>
    <w:p w:rsidR="003F7349" w:rsidRDefault="003F7349" w:rsidP="003F7349">
      <w:pPr>
        <w:spacing w:line="360" w:lineRule="auto"/>
        <w:rPr>
          <w:color w:val="222222"/>
        </w:rPr>
      </w:pPr>
      <w:r>
        <w:rPr>
          <w:color w:val="222222"/>
        </w:rPr>
        <w:t xml:space="preserve">The contractor also undertakes to rectify any identifiable deficiency in the implementation of its publicity, communication and/or visibility measures and, where relevant, to observe the provisions laid out in the attached Annex VI to the Pillar Assessed Grant or Delegation Agreement </w:t>
      </w:r>
      <w:r w:rsidR="009614AD">
        <w:rPr>
          <w:color w:val="222222"/>
        </w:rPr>
        <w:t>– ‘</w:t>
      </w:r>
      <w:r>
        <w:rPr>
          <w:color w:val="222222"/>
        </w:rPr>
        <w:t>Communication and Visibility Plan</w:t>
      </w:r>
      <w:r w:rsidR="009614AD">
        <w:rPr>
          <w:color w:val="222222"/>
        </w:rPr>
        <w:t>’</w:t>
      </w:r>
      <w:r>
        <w:rPr>
          <w:color w:val="222222"/>
        </w:rPr>
        <w:t xml:space="preserve">. </w:t>
      </w:r>
    </w:p>
    <w:p w:rsidR="003F7349" w:rsidRPr="00721E27" w:rsidRDefault="003F7349" w:rsidP="003F7349">
      <w:pPr>
        <w:spacing w:line="360" w:lineRule="auto"/>
        <w:rPr>
          <w:color w:val="222222"/>
        </w:rPr>
      </w:pPr>
    </w:p>
    <w:p w:rsidR="003F7349" w:rsidRPr="004F58BC" w:rsidRDefault="003F7349" w:rsidP="003F7349">
      <w:pPr>
        <w:spacing w:line="360" w:lineRule="auto"/>
        <w:rPr>
          <w:color w:val="222222"/>
        </w:rPr>
      </w:pPr>
      <w:r>
        <w:rPr>
          <w:color w:val="222222"/>
          <w:u w:val="single"/>
        </w:rPr>
        <w:t xml:space="preserve">Item 1.8 </w:t>
      </w:r>
      <w:r w:rsidR="009614AD">
        <w:rPr>
          <w:color w:val="222222"/>
          <w:u w:val="single"/>
        </w:rPr>
        <w:t>‘</w:t>
      </w:r>
      <w:r>
        <w:rPr>
          <w:color w:val="222222"/>
          <w:u w:val="single"/>
        </w:rPr>
        <w:t>Keeping of contract-related records</w:t>
      </w:r>
      <w:r w:rsidR="009614AD">
        <w:rPr>
          <w:color w:val="222222"/>
          <w:u w:val="single"/>
        </w:rPr>
        <w:t>’</w:t>
      </w:r>
      <w:r>
        <w:rPr>
          <w:color w:val="222222"/>
        </w:rPr>
        <w:t xml:space="preserve"> is supplemented as follows:</w:t>
      </w:r>
    </w:p>
    <w:p w:rsidR="003F7349" w:rsidRDefault="003F7349" w:rsidP="003F7349">
      <w:pPr>
        <w:spacing w:line="360" w:lineRule="auto"/>
        <w:rPr>
          <w:color w:val="222222"/>
        </w:rPr>
      </w:pPr>
      <w:r>
        <w:rPr>
          <w:color w:val="222222"/>
        </w:rPr>
        <w:t xml:space="preserve">The obligation to keep contract-related records includes all original vouchers and documentation that have not (yet) been submitted to GIZ and that relate to expenses incurred when providing services or supplies </w:t>
      </w:r>
      <w:r w:rsidR="00F03186">
        <w:rPr>
          <w:color w:val="222222"/>
        </w:rPr>
        <w:t xml:space="preserve">within the framework of </w:t>
      </w:r>
      <w:r>
        <w:rPr>
          <w:color w:val="222222"/>
        </w:rPr>
        <w:t xml:space="preserve">the contract between the contractor and GIZ (cf. Article 16 of the General Conditions). </w:t>
      </w:r>
    </w:p>
    <w:p w:rsidR="003F7349" w:rsidRDefault="003F7349" w:rsidP="003F7349">
      <w:pPr>
        <w:spacing w:line="360" w:lineRule="auto"/>
        <w:rPr>
          <w:color w:val="222222"/>
        </w:rPr>
      </w:pPr>
    </w:p>
    <w:p w:rsidR="003F7349" w:rsidRDefault="003F7349" w:rsidP="003F7349">
      <w:pPr>
        <w:spacing w:line="360" w:lineRule="auto"/>
        <w:rPr>
          <w:color w:val="222222"/>
        </w:rPr>
      </w:pPr>
    </w:p>
    <w:p w:rsidR="003F7349" w:rsidRPr="004F58BC" w:rsidRDefault="003F7349" w:rsidP="003F7349">
      <w:pPr>
        <w:spacing w:line="360" w:lineRule="auto"/>
        <w:rPr>
          <w:color w:val="222222"/>
        </w:rPr>
      </w:pPr>
      <w:r>
        <w:rPr>
          <w:color w:val="222222"/>
          <w:u w:val="single"/>
        </w:rPr>
        <w:t xml:space="preserve">Item 1.13 </w:t>
      </w:r>
      <w:r w:rsidR="009614AD">
        <w:rPr>
          <w:color w:val="222222"/>
          <w:u w:val="single"/>
        </w:rPr>
        <w:t>‘</w:t>
      </w:r>
      <w:r>
        <w:rPr>
          <w:color w:val="222222"/>
          <w:u w:val="single"/>
        </w:rPr>
        <w:t>Obligation of the contractor to report on the status of the measure</w:t>
      </w:r>
      <w:r w:rsidR="009614AD">
        <w:rPr>
          <w:color w:val="222222"/>
          <w:u w:val="single"/>
        </w:rPr>
        <w:t>’</w:t>
      </w:r>
      <w:r>
        <w:rPr>
          <w:color w:val="222222"/>
        </w:rPr>
        <w:t xml:space="preserve"> is supplemented as follows:</w:t>
      </w:r>
    </w:p>
    <w:p w:rsidR="003F7349" w:rsidRDefault="003F7349" w:rsidP="003F7349">
      <w:pPr>
        <w:spacing w:line="360" w:lineRule="auto"/>
        <w:rPr>
          <w:color w:val="222222"/>
        </w:rPr>
      </w:pPr>
      <w:r>
        <w:rPr>
          <w:color w:val="222222"/>
        </w:rPr>
        <w:t xml:space="preserve">The term </w:t>
      </w:r>
      <w:r w:rsidR="009614AD">
        <w:rPr>
          <w:color w:val="222222"/>
        </w:rPr>
        <w:t>‘</w:t>
      </w:r>
      <w:r>
        <w:rPr>
          <w:color w:val="222222"/>
        </w:rPr>
        <w:t>audits</w:t>
      </w:r>
      <w:r w:rsidR="009614AD">
        <w:rPr>
          <w:color w:val="222222"/>
        </w:rPr>
        <w:t>’</w:t>
      </w:r>
      <w:r>
        <w:rPr>
          <w:color w:val="222222"/>
        </w:rPr>
        <w:t xml:space="preserve"> includes on-the-spot-checks that may also be carried out on request by representatives of the EU (cf. Article 17 of the General Conditions). </w:t>
      </w:r>
    </w:p>
    <w:p w:rsidR="003F7349" w:rsidRDefault="003F7349" w:rsidP="003F7349">
      <w:pPr>
        <w:spacing w:line="360" w:lineRule="auto"/>
        <w:rPr>
          <w:color w:val="222222"/>
        </w:rPr>
      </w:pPr>
    </w:p>
    <w:p w:rsidR="003F7349" w:rsidRDefault="003F7349" w:rsidP="003F7349">
      <w:pPr>
        <w:spacing w:line="360" w:lineRule="auto"/>
        <w:rPr>
          <w:color w:val="222222"/>
          <w:u w:val="single"/>
        </w:rPr>
      </w:pPr>
      <w:r>
        <w:rPr>
          <w:color w:val="222222"/>
          <w:u w:val="single"/>
        </w:rPr>
        <w:t xml:space="preserve">Item 1.14.1. </w:t>
      </w:r>
      <w:r w:rsidR="009614AD">
        <w:rPr>
          <w:color w:val="222222"/>
          <w:u w:val="single"/>
        </w:rPr>
        <w:t>‘</w:t>
      </w:r>
      <w:r>
        <w:rPr>
          <w:color w:val="222222"/>
          <w:u w:val="single"/>
        </w:rPr>
        <w:t>Saving and processing personal data</w:t>
      </w:r>
      <w:r w:rsidR="009614AD">
        <w:rPr>
          <w:color w:val="222222"/>
          <w:u w:val="single"/>
        </w:rPr>
        <w:t>’</w:t>
      </w:r>
      <w:r>
        <w:rPr>
          <w:color w:val="222222"/>
        </w:rPr>
        <w:t xml:space="preserve"> is supplemented as follows:</w:t>
      </w:r>
    </w:p>
    <w:p w:rsidR="003F7349" w:rsidRDefault="003F7349" w:rsidP="003F7349">
      <w:pPr>
        <w:spacing w:line="360" w:lineRule="auto"/>
        <w:rPr>
          <w:color w:val="222222"/>
        </w:rPr>
      </w:pPr>
      <w:r>
        <w:rPr>
          <w:color w:val="222222"/>
        </w:rPr>
        <w:t xml:space="preserve">The contractor shall ensure that appropriate protection is given to personal data (cf. Article 7 of the General Conditions). When processing personal data, the contractor shall ensure that it complies with the provisions set out in the </w:t>
      </w:r>
      <w:r w:rsidR="009614AD">
        <w:rPr>
          <w:color w:val="222222"/>
        </w:rPr>
        <w:t>‘</w:t>
      </w:r>
      <w:r>
        <w:rPr>
          <w:color w:val="222222"/>
        </w:rPr>
        <w:t>Annex on outsourcing data processing</w:t>
      </w:r>
      <w:r w:rsidR="009614AD">
        <w:rPr>
          <w:color w:val="222222"/>
        </w:rPr>
        <w:t>’</w:t>
      </w:r>
      <w:r>
        <w:rPr>
          <w:color w:val="222222"/>
        </w:rPr>
        <w:t>, which can be downloaded from GIZ</w:t>
      </w:r>
      <w:r w:rsidR="009614AD">
        <w:rPr>
          <w:color w:val="222222"/>
        </w:rPr>
        <w:t>’</w:t>
      </w:r>
      <w:r>
        <w:rPr>
          <w:color w:val="222222"/>
        </w:rPr>
        <w:t xml:space="preserve">s website at </w:t>
      </w:r>
      <w:hyperlink r:id="rId10" w:history="1">
        <w:r>
          <w:rPr>
            <w:rStyle w:val="Hyperlink"/>
          </w:rPr>
          <w:t>https://www.giz.de/en/downloads/giz2013-en-Binding_agreement_on_the_rules.docx</w:t>
        </w:r>
      </w:hyperlink>
      <w:r>
        <w:rPr>
          <w:rStyle w:val="Hyperlink"/>
          <w:color w:val="000000"/>
          <w:u w:val="none"/>
        </w:rPr>
        <w:t>.</w:t>
      </w:r>
      <w:r>
        <w:rPr>
          <w:color w:val="000000"/>
        </w:rPr>
        <w:t xml:space="preserve"> </w:t>
      </w:r>
    </w:p>
    <w:p w:rsidR="003F7349" w:rsidRDefault="003F7349" w:rsidP="003F7349">
      <w:pPr>
        <w:spacing w:line="360" w:lineRule="auto"/>
        <w:rPr>
          <w:color w:val="222222"/>
        </w:rPr>
      </w:pPr>
    </w:p>
    <w:p w:rsidR="003F7349" w:rsidRDefault="003F7349" w:rsidP="003F7349">
      <w:pPr>
        <w:spacing w:line="360" w:lineRule="auto"/>
        <w:rPr>
          <w:color w:val="222222"/>
          <w:u w:val="single"/>
        </w:rPr>
      </w:pPr>
      <w:r>
        <w:rPr>
          <w:color w:val="222222"/>
          <w:u w:val="single"/>
        </w:rPr>
        <w:t xml:space="preserve">Item 1.18. </w:t>
      </w:r>
      <w:r w:rsidR="009614AD">
        <w:rPr>
          <w:color w:val="222222"/>
          <w:u w:val="single"/>
        </w:rPr>
        <w:t>‘</w:t>
      </w:r>
      <w:r>
        <w:rPr>
          <w:color w:val="222222"/>
          <w:u w:val="single"/>
        </w:rPr>
        <w:t>Social standards and minimum wage</w:t>
      </w:r>
      <w:r w:rsidR="009614AD">
        <w:rPr>
          <w:color w:val="222222"/>
          <w:u w:val="single"/>
        </w:rPr>
        <w:t>’</w:t>
      </w:r>
      <w:r>
        <w:rPr>
          <w:color w:val="222222"/>
        </w:rPr>
        <w:t xml:space="preserve"> is supplemented as follows:</w:t>
      </w:r>
    </w:p>
    <w:p w:rsidR="003F7349" w:rsidRDefault="003F7349" w:rsidP="003F7349">
      <w:pPr>
        <w:spacing w:line="360" w:lineRule="auto"/>
        <w:rPr>
          <w:color w:val="222222"/>
        </w:rPr>
      </w:pPr>
      <w:r>
        <w:rPr>
          <w:color w:val="222222"/>
        </w:rPr>
        <w:t xml:space="preserve">The contractor shall promote and respect human rights (cf. Article 2.6 of the General Conditions). The contractor shall respect applicable environmental legislation including multilateral environmental agreements, as well as internationally agreed core labour standards. </w:t>
      </w:r>
    </w:p>
    <w:p w:rsidR="003F7349" w:rsidRDefault="003F7349" w:rsidP="003F7349">
      <w:pPr>
        <w:spacing w:line="360" w:lineRule="auto"/>
        <w:rPr>
          <w:color w:val="222222"/>
        </w:rPr>
      </w:pPr>
    </w:p>
    <w:p w:rsidR="003F7349" w:rsidRDefault="003F7349" w:rsidP="003F7349">
      <w:pPr>
        <w:spacing w:line="360" w:lineRule="auto"/>
        <w:rPr>
          <w:color w:val="222222"/>
        </w:rPr>
      </w:pPr>
    </w:p>
    <w:p w:rsidR="003F7349" w:rsidRPr="00AA27A0" w:rsidRDefault="00D06536" w:rsidP="003F7349">
      <w:pPr>
        <w:spacing w:line="360" w:lineRule="auto"/>
        <w:rPr>
          <w:color w:val="222222"/>
        </w:rPr>
      </w:pPr>
      <w:r>
        <w:rPr>
          <w:color w:val="222222"/>
        </w:rPr>
        <w:t>Annex</w:t>
      </w:r>
    </w:p>
    <w:p w:rsidR="003F7349" w:rsidRPr="00AA27A0" w:rsidRDefault="003F7349" w:rsidP="003F7349">
      <w:pPr>
        <w:spacing w:line="360" w:lineRule="auto"/>
        <w:rPr>
          <w:color w:val="222222"/>
        </w:rPr>
      </w:pPr>
      <w:r>
        <w:rPr>
          <w:color w:val="222222"/>
        </w:rPr>
        <w:t>Communication and Visibility Plan (where relevant)</w:t>
      </w:r>
    </w:p>
    <w:sectPr w:rsidR="003F7349" w:rsidRPr="00AA27A0" w:rsidSect="003F7349">
      <w:headerReference w:type="default" r:id="rId11"/>
      <w:footerReference w:type="default" r:id="rId12"/>
      <w:pgSz w:w="11906" w:h="16838" w:code="9"/>
      <w:pgMar w:top="1418" w:right="1418" w:bottom="1276" w:left="1418"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278" w:rsidRDefault="009C1278" w:rsidP="003F7349">
      <w:r>
        <w:separator/>
      </w:r>
    </w:p>
  </w:endnote>
  <w:endnote w:type="continuationSeparator" w:id="0">
    <w:p w:rsidR="009C1278" w:rsidRDefault="009C1278" w:rsidP="003F7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A0" w:firstRow="1" w:lastRow="0" w:firstColumn="1" w:lastColumn="0" w:noHBand="0" w:noVBand="0"/>
    </w:tblPr>
    <w:tblGrid>
      <w:gridCol w:w="2410"/>
      <w:gridCol w:w="4111"/>
      <w:gridCol w:w="2549"/>
    </w:tblGrid>
    <w:tr w:rsidR="003F7349" w:rsidRPr="001A2302" w:rsidTr="003F7349">
      <w:tc>
        <w:tcPr>
          <w:tcW w:w="1329" w:type="pct"/>
          <w:shd w:val="clear" w:color="auto" w:fill="auto"/>
        </w:tcPr>
        <w:p w:rsidR="003F7349" w:rsidRPr="001A2302" w:rsidRDefault="00C73EB1" w:rsidP="003F7349">
          <w:pPr>
            <w:pStyle w:val="Fuzeile"/>
            <w:tabs>
              <w:tab w:val="clear" w:pos="4536"/>
              <w:tab w:val="clear" w:pos="9072"/>
            </w:tabs>
            <w:rPr>
              <w:rFonts w:eastAsia="Times New Roman" w:cs="Times New Roman"/>
              <w:sz w:val="18"/>
              <w:szCs w:val="18"/>
            </w:rPr>
          </w:pPr>
          <w:r>
            <w:rPr>
              <w:rFonts w:eastAsia="Times New Roman" w:cs="Times New Roman"/>
              <w:sz w:val="18"/>
              <w:szCs w:val="18"/>
            </w:rPr>
            <w:t>04/2017</w:t>
          </w:r>
        </w:p>
      </w:tc>
      <w:tc>
        <w:tcPr>
          <w:tcW w:w="2266" w:type="pct"/>
          <w:shd w:val="clear" w:color="auto" w:fill="auto"/>
        </w:tcPr>
        <w:p w:rsidR="003F7349" w:rsidRPr="001A2302" w:rsidRDefault="003F7349" w:rsidP="003F7349">
          <w:pPr>
            <w:pStyle w:val="Fuzeile"/>
            <w:tabs>
              <w:tab w:val="clear" w:pos="4536"/>
              <w:tab w:val="clear" w:pos="9072"/>
            </w:tabs>
            <w:jc w:val="center"/>
            <w:rPr>
              <w:rFonts w:eastAsia="Times New Roman" w:cs="Times New Roman"/>
              <w:sz w:val="18"/>
              <w:szCs w:val="18"/>
            </w:rPr>
          </w:pPr>
        </w:p>
      </w:tc>
      <w:tc>
        <w:tcPr>
          <w:tcW w:w="1405" w:type="pct"/>
          <w:shd w:val="clear" w:color="auto" w:fill="auto"/>
        </w:tcPr>
        <w:p w:rsidR="003F7349" w:rsidRPr="001A2302" w:rsidRDefault="003F7349" w:rsidP="003F7349">
          <w:pPr>
            <w:pStyle w:val="Fuzeile"/>
            <w:tabs>
              <w:tab w:val="clear" w:pos="4536"/>
              <w:tab w:val="clear" w:pos="9072"/>
            </w:tabs>
            <w:ind w:right="57"/>
            <w:jc w:val="right"/>
            <w:rPr>
              <w:rFonts w:eastAsia="Times New Roman" w:cs="Times New Roman"/>
              <w:sz w:val="18"/>
              <w:szCs w:val="18"/>
            </w:rPr>
          </w:pPr>
          <w:r>
            <w:rPr>
              <w:rStyle w:val="Seitenzahl"/>
              <w:sz w:val="18"/>
            </w:rPr>
            <w:t xml:space="preserve">Page </w:t>
          </w:r>
          <w:r>
            <w:rPr>
              <w:rStyle w:val="Seitenzahl"/>
              <w:sz w:val="18"/>
            </w:rPr>
            <w:fldChar w:fldCharType="begin"/>
          </w:r>
          <w:r>
            <w:rPr>
              <w:rStyle w:val="Seitenzahl"/>
              <w:sz w:val="18"/>
            </w:rPr>
            <w:instrText xml:space="preserve"> PAGE  </w:instrText>
          </w:r>
          <w:r>
            <w:rPr>
              <w:rStyle w:val="Seitenzahl"/>
              <w:sz w:val="18"/>
            </w:rPr>
            <w:fldChar w:fldCharType="separate"/>
          </w:r>
          <w:r w:rsidR="00160FAE">
            <w:rPr>
              <w:rStyle w:val="Seitenzahl"/>
              <w:noProof/>
              <w:sz w:val="18"/>
            </w:rPr>
            <w:t>2</w:t>
          </w:r>
          <w:r>
            <w:rPr>
              <w:rStyle w:val="Seitenzahl"/>
              <w:sz w:val="18"/>
            </w:rPr>
            <w:fldChar w:fldCharType="end"/>
          </w:r>
        </w:p>
      </w:tc>
    </w:tr>
  </w:tbl>
  <w:p w:rsidR="003F7349" w:rsidRPr="00165E31" w:rsidRDefault="003F7349" w:rsidP="003F7349">
    <w:pPr>
      <w:pStyle w:val="Fuzeile"/>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278" w:rsidRDefault="009C1278" w:rsidP="003F7349">
      <w:r>
        <w:separator/>
      </w:r>
    </w:p>
  </w:footnote>
  <w:footnote w:type="continuationSeparator" w:id="0">
    <w:p w:rsidR="009C1278" w:rsidRDefault="009C1278" w:rsidP="003F7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0" w:type="dxa"/>
        <w:right w:w="0" w:type="dxa"/>
      </w:tblCellMar>
      <w:tblLook w:val="00A0" w:firstRow="1" w:lastRow="0" w:firstColumn="1" w:lastColumn="0" w:noHBand="0" w:noVBand="0"/>
    </w:tblPr>
    <w:tblGrid>
      <w:gridCol w:w="6344"/>
      <w:gridCol w:w="2726"/>
    </w:tblGrid>
    <w:tr w:rsidR="003F7349" w:rsidRPr="001A2302" w:rsidTr="003F7349">
      <w:tc>
        <w:tcPr>
          <w:tcW w:w="3497" w:type="pct"/>
          <w:shd w:val="clear" w:color="auto" w:fill="auto"/>
        </w:tcPr>
        <w:p w:rsidR="003F7349" w:rsidRPr="001A2302" w:rsidRDefault="003F7349" w:rsidP="003F7349">
          <w:pPr>
            <w:pStyle w:val="Kopfzeile"/>
            <w:tabs>
              <w:tab w:val="clear" w:pos="4536"/>
              <w:tab w:val="clear" w:pos="9072"/>
              <w:tab w:val="right" w:pos="9356"/>
            </w:tabs>
            <w:spacing w:before="660"/>
            <w:rPr>
              <w:rFonts w:eastAsia="Times New Roman" w:cs="Times New Roman"/>
            </w:rPr>
          </w:pPr>
        </w:p>
      </w:tc>
      <w:tc>
        <w:tcPr>
          <w:tcW w:w="1503" w:type="pct"/>
          <w:shd w:val="clear" w:color="auto" w:fill="auto"/>
        </w:tcPr>
        <w:p w:rsidR="003F7349" w:rsidRPr="001A2302" w:rsidRDefault="00DB66D5" w:rsidP="003F7349">
          <w:pPr>
            <w:pStyle w:val="Kopfzeile"/>
            <w:tabs>
              <w:tab w:val="clear" w:pos="4536"/>
              <w:tab w:val="clear" w:pos="9072"/>
              <w:tab w:val="right" w:pos="9356"/>
            </w:tabs>
            <w:ind w:right="-227"/>
            <w:jc w:val="right"/>
            <w:rPr>
              <w:rFonts w:eastAsia="Times New Roman" w:cs="Times New Roman"/>
              <w:sz w:val="20"/>
              <w:szCs w:val="20"/>
            </w:rPr>
          </w:pPr>
          <w:r>
            <w:rPr>
              <w:noProof/>
              <w:sz w:val="20"/>
              <w:lang w:val="de-DE" w:eastAsia="de-DE"/>
            </w:rPr>
            <w:drawing>
              <wp:inline distT="0" distB="0" distL="0" distR="0">
                <wp:extent cx="2162175" cy="904875"/>
                <wp:effectExtent l="0" t="0" r="9525" b="9525"/>
                <wp:docPr id="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904875"/>
                        </a:xfrm>
                        <a:prstGeom prst="rect">
                          <a:avLst/>
                        </a:prstGeom>
                        <a:noFill/>
                        <a:ln>
                          <a:noFill/>
                        </a:ln>
                      </pic:spPr>
                    </pic:pic>
                  </a:graphicData>
                </a:graphic>
              </wp:inline>
            </w:drawing>
          </w:r>
        </w:p>
      </w:tc>
    </w:tr>
  </w:tbl>
  <w:p w:rsidR="003F7349" w:rsidRPr="00165E31" w:rsidRDefault="003F7349" w:rsidP="003F734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65A1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BCAA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9406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74D8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408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265D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788B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6811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AC66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7CCC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A142881"/>
    <w:multiLevelType w:val="hybridMultilevel"/>
    <w:tmpl w:val="34146F2C"/>
    <w:lvl w:ilvl="0" w:tplc="74009316">
      <w:start w:val="1"/>
      <w:numFmt w:val="bullet"/>
      <w:lvlText w:val=""/>
      <w:lvlJc w:val="left"/>
      <w:pPr>
        <w:ind w:left="720" w:hanging="360"/>
      </w:pPr>
      <w:rPr>
        <w:rFonts w:ascii="Symbol" w:hAnsi="Symbol" w:hint="default"/>
      </w:rPr>
    </w:lvl>
    <w:lvl w:ilvl="1" w:tplc="50846478">
      <w:start w:val="1"/>
      <w:numFmt w:val="bullet"/>
      <w:lvlText w:val="o"/>
      <w:lvlJc w:val="left"/>
      <w:pPr>
        <w:ind w:left="1440" w:hanging="360"/>
      </w:pPr>
      <w:rPr>
        <w:rFonts w:ascii="Courier New" w:hAnsi="Courier New" w:cs="Courier New" w:hint="default"/>
      </w:rPr>
    </w:lvl>
    <w:lvl w:ilvl="2" w:tplc="C4707CFC">
      <w:start w:val="1"/>
      <w:numFmt w:val="bullet"/>
      <w:lvlText w:val=""/>
      <w:lvlJc w:val="left"/>
      <w:pPr>
        <w:ind w:left="2160" w:hanging="360"/>
      </w:pPr>
      <w:rPr>
        <w:rFonts w:ascii="Wingdings" w:hAnsi="Wingdings" w:hint="default"/>
      </w:rPr>
    </w:lvl>
    <w:lvl w:ilvl="3" w:tplc="5A108290">
      <w:start w:val="1"/>
      <w:numFmt w:val="bullet"/>
      <w:lvlText w:val=""/>
      <w:lvlJc w:val="left"/>
      <w:pPr>
        <w:ind w:left="2880" w:hanging="360"/>
      </w:pPr>
      <w:rPr>
        <w:rFonts w:ascii="Symbol" w:hAnsi="Symbol" w:hint="default"/>
      </w:rPr>
    </w:lvl>
    <w:lvl w:ilvl="4" w:tplc="71A8CA1C">
      <w:start w:val="1"/>
      <w:numFmt w:val="bullet"/>
      <w:lvlText w:val="o"/>
      <w:lvlJc w:val="left"/>
      <w:pPr>
        <w:ind w:left="3600" w:hanging="360"/>
      </w:pPr>
      <w:rPr>
        <w:rFonts w:ascii="Courier New" w:hAnsi="Courier New" w:cs="Courier New" w:hint="default"/>
      </w:rPr>
    </w:lvl>
    <w:lvl w:ilvl="5" w:tplc="204A1E12">
      <w:start w:val="1"/>
      <w:numFmt w:val="bullet"/>
      <w:lvlText w:val=""/>
      <w:lvlJc w:val="left"/>
      <w:pPr>
        <w:ind w:left="4320" w:hanging="360"/>
      </w:pPr>
      <w:rPr>
        <w:rFonts w:ascii="Wingdings" w:hAnsi="Wingdings" w:hint="default"/>
      </w:rPr>
    </w:lvl>
    <w:lvl w:ilvl="6" w:tplc="DC146506">
      <w:start w:val="1"/>
      <w:numFmt w:val="bullet"/>
      <w:lvlText w:val=""/>
      <w:lvlJc w:val="left"/>
      <w:pPr>
        <w:ind w:left="5040" w:hanging="360"/>
      </w:pPr>
      <w:rPr>
        <w:rFonts w:ascii="Symbol" w:hAnsi="Symbol" w:hint="default"/>
      </w:rPr>
    </w:lvl>
    <w:lvl w:ilvl="7" w:tplc="1A4C32EC">
      <w:start w:val="1"/>
      <w:numFmt w:val="bullet"/>
      <w:lvlText w:val="o"/>
      <w:lvlJc w:val="left"/>
      <w:pPr>
        <w:ind w:left="5760" w:hanging="360"/>
      </w:pPr>
      <w:rPr>
        <w:rFonts w:ascii="Courier New" w:hAnsi="Courier New" w:cs="Courier New" w:hint="default"/>
      </w:rPr>
    </w:lvl>
    <w:lvl w:ilvl="8" w:tplc="13AC1FEA">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FAE"/>
    <w:rsid w:val="000879FC"/>
    <w:rsid w:val="00160FAE"/>
    <w:rsid w:val="00255060"/>
    <w:rsid w:val="003F7349"/>
    <w:rsid w:val="004740E9"/>
    <w:rsid w:val="004F68D7"/>
    <w:rsid w:val="0051697E"/>
    <w:rsid w:val="006022F4"/>
    <w:rsid w:val="00656DD7"/>
    <w:rsid w:val="008E7118"/>
    <w:rsid w:val="00932EBC"/>
    <w:rsid w:val="009614AD"/>
    <w:rsid w:val="00994C90"/>
    <w:rsid w:val="009C1278"/>
    <w:rsid w:val="00A067FE"/>
    <w:rsid w:val="00C73EB1"/>
    <w:rsid w:val="00CD312E"/>
    <w:rsid w:val="00CF0E96"/>
    <w:rsid w:val="00D06536"/>
    <w:rsid w:val="00DB66D5"/>
    <w:rsid w:val="00F031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A1334CA-8A92-4154-B207-7353E60E5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de-DE" w:eastAsia="de-DE"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969D6"/>
    <w:rPr>
      <w:rFonts w:ascii="Arial" w:hAnsi="Arial"/>
      <w:sz w:val="22"/>
      <w:szCs w:val="22"/>
      <w:lang w:val="en-GB" w:eastAsia="en-GB"/>
    </w:rPr>
  </w:style>
  <w:style w:type="paragraph" w:styleId="berschrift1">
    <w:name w:val="heading 1"/>
    <w:aliases w:val="1. Überschrift"/>
    <w:basedOn w:val="Standard"/>
    <w:next w:val="Standard"/>
    <w:link w:val="berschrift1Zchn"/>
    <w:autoRedefine/>
    <w:uiPriority w:val="1"/>
    <w:qFormat/>
    <w:rsid w:val="00E00A39"/>
    <w:pPr>
      <w:keepNext/>
      <w:keepLines/>
      <w:spacing w:before="480"/>
      <w:outlineLvl w:val="0"/>
    </w:pPr>
    <w:rPr>
      <w:rFonts w:eastAsia="Times New Roman" w:cs="Times New Roman"/>
      <w:b/>
      <w:bCs/>
      <w:sz w:val="28"/>
      <w:szCs w:val="28"/>
    </w:rPr>
  </w:style>
  <w:style w:type="paragraph" w:styleId="berschrift2">
    <w:name w:val="heading 2"/>
    <w:aliases w:val="2. Überschrift"/>
    <w:basedOn w:val="Standard"/>
    <w:next w:val="Standard"/>
    <w:link w:val="berschrift2Zchn"/>
    <w:uiPriority w:val="1"/>
    <w:unhideWhenUsed/>
    <w:qFormat/>
    <w:rsid w:val="000F1C7E"/>
    <w:pPr>
      <w:keepNext/>
      <w:keepLines/>
      <w:spacing w:before="240"/>
      <w:outlineLvl w:val="1"/>
    </w:pPr>
    <w:rPr>
      <w:rFonts w:eastAsia="Times New Roman" w:cs="Times New Roman"/>
      <w:b/>
      <w:bCs/>
      <w:sz w:val="24"/>
      <w:szCs w:val="26"/>
    </w:rPr>
  </w:style>
  <w:style w:type="paragraph" w:styleId="berschrift3">
    <w:name w:val="heading 3"/>
    <w:aliases w:val="3. Überschrift"/>
    <w:basedOn w:val="Standard"/>
    <w:next w:val="Standard"/>
    <w:link w:val="berschrift3Zchn"/>
    <w:uiPriority w:val="1"/>
    <w:unhideWhenUsed/>
    <w:qFormat/>
    <w:rsid w:val="000F1C7E"/>
    <w:pPr>
      <w:keepNext/>
      <w:keepLines/>
      <w:spacing w:before="240"/>
      <w:outlineLvl w:val="2"/>
    </w:pPr>
    <w:rPr>
      <w:rFonts w:eastAsia="Times New Roman" w:cs="Times New Roman"/>
      <w:b/>
      <w:bCs/>
    </w:rPr>
  </w:style>
  <w:style w:type="paragraph" w:styleId="berschrift4">
    <w:name w:val="heading 4"/>
    <w:basedOn w:val="Standard"/>
    <w:next w:val="Standard"/>
    <w:link w:val="berschrift4Zchn"/>
    <w:uiPriority w:val="9"/>
    <w:semiHidden/>
    <w:unhideWhenUsed/>
    <w:rsid w:val="000F1C7E"/>
    <w:pPr>
      <w:keepNext/>
      <w:keepLines/>
      <w:spacing w:before="240"/>
      <w:outlineLvl w:val="3"/>
    </w:pPr>
    <w:rPr>
      <w:rFonts w:eastAsia="Times New Roman" w:cs="Times New Roman"/>
      <w:bCs/>
      <w:iCs/>
      <w:color w:val="4F81B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A637D0"/>
    <w:pPr>
      <w:tabs>
        <w:tab w:val="center" w:pos="4536"/>
        <w:tab w:val="right" w:pos="9072"/>
      </w:tabs>
    </w:pPr>
  </w:style>
  <w:style w:type="character" w:customStyle="1" w:styleId="KopfzeileZchn">
    <w:name w:val="Kopfzeile Zchn"/>
    <w:basedOn w:val="Absatz-Standardschriftart"/>
    <w:link w:val="Kopfzeile"/>
    <w:uiPriority w:val="99"/>
    <w:rsid w:val="00A637D0"/>
  </w:style>
  <w:style w:type="paragraph" w:styleId="Fuzeile">
    <w:name w:val="footer"/>
    <w:basedOn w:val="Standard"/>
    <w:link w:val="FuzeileZchn"/>
    <w:unhideWhenUsed/>
    <w:rsid w:val="00A637D0"/>
    <w:pPr>
      <w:tabs>
        <w:tab w:val="center" w:pos="4536"/>
        <w:tab w:val="right" w:pos="9072"/>
      </w:tabs>
    </w:pPr>
  </w:style>
  <w:style w:type="character" w:customStyle="1" w:styleId="FuzeileZchn">
    <w:name w:val="Fußzeile Zchn"/>
    <w:basedOn w:val="Absatz-Standardschriftart"/>
    <w:link w:val="Fuzeile"/>
    <w:uiPriority w:val="4"/>
    <w:rsid w:val="00DE6D89"/>
  </w:style>
  <w:style w:type="paragraph" w:styleId="Sprechblasentext">
    <w:name w:val="Balloon Text"/>
    <w:basedOn w:val="Standard"/>
    <w:link w:val="SprechblasentextZchn"/>
    <w:uiPriority w:val="99"/>
    <w:semiHidden/>
    <w:unhideWhenUsed/>
    <w:rsid w:val="00A637D0"/>
    <w:rPr>
      <w:rFonts w:ascii="Tahoma" w:hAnsi="Tahoma" w:cs="Tahoma"/>
      <w:sz w:val="16"/>
      <w:szCs w:val="16"/>
    </w:rPr>
  </w:style>
  <w:style w:type="character" w:customStyle="1" w:styleId="SprechblasentextZchn">
    <w:name w:val="Sprechblasentext Zchn"/>
    <w:link w:val="Sprechblasentext"/>
    <w:uiPriority w:val="99"/>
    <w:semiHidden/>
    <w:rsid w:val="00A637D0"/>
    <w:rPr>
      <w:rFonts w:ascii="Tahoma" w:hAnsi="Tahoma" w:cs="Tahoma"/>
      <w:sz w:val="16"/>
      <w:szCs w:val="16"/>
      <w:lang w:val="en-GB" w:eastAsia="en-GB"/>
    </w:rPr>
  </w:style>
  <w:style w:type="character" w:styleId="Seitenzahl">
    <w:name w:val="page number"/>
    <w:basedOn w:val="Absatz-Standardschriftart"/>
    <w:semiHidden/>
    <w:unhideWhenUsed/>
    <w:rsid w:val="00A637D0"/>
  </w:style>
  <w:style w:type="character" w:customStyle="1" w:styleId="berschrift2Zchn">
    <w:name w:val="Überschrift 2 Zchn"/>
    <w:aliases w:val="2. Überschrift Zchn"/>
    <w:link w:val="berschrift2"/>
    <w:uiPriority w:val="1"/>
    <w:rsid w:val="000F1C7E"/>
    <w:rPr>
      <w:rFonts w:ascii="Arial" w:eastAsia="Times New Roman" w:hAnsi="Arial" w:cs="Times New Roman"/>
      <w:b/>
      <w:bCs/>
      <w:sz w:val="24"/>
      <w:szCs w:val="26"/>
      <w:lang w:val="en-GB" w:eastAsia="en-GB"/>
    </w:rPr>
  </w:style>
  <w:style w:type="character" w:customStyle="1" w:styleId="berschrift3Zchn">
    <w:name w:val="Überschrift 3 Zchn"/>
    <w:aliases w:val="3. Überschrift Zchn"/>
    <w:link w:val="berschrift3"/>
    <w:uiPriority w:val="1"/>
    <w:rsid w:val="000F1C7E"/>
    <w:rPr>
      <w:rFonts w:ascii="Arial" w:eastAsia="Times New Roman" w:hAnsi="Arial" w:cs="Times New Roman"/>
      <w:b/>
      <w:bCs/>
      <w:lang w:val="en-GB" w:eastAsia="en-GB"/>
    </w:rPr>
  </w:style>
  <w:style w:type="paragraph" w:customStyle="1" w:styleId="2Einrckung">
    <w:name w:val="2. Einrückung"/>
    <w:basedOn w:val="Standard"/>
    <w:uiPriority w:val="2"/>
    <w:qFormat/>
    <w:rsid w:val="009B0BA2"/>
    <w:pPr>
      <w:tabs>
        <w:tab w:val="left" w:pos="567"/>
        <w:tab w:val="left" w:pos="1134"/>
      </w:tabs>
      <w:ind w:left="1134" w:hanging="567"/>
    </w:pPr>
  </w:style>
  <w:style w:type="paragraph" w:customStyle="1" w:styleId="1Einrckung">
    <w:name w:val="1. Einrückung"/>
    <w:basedOn w:val="Standard"/>
    <w:uiPriority w:val="2"/>
    <w:qFormat/>
    <w:rsid w:val="009B0BA2"/>
    <w:pPr>
      <w:tabs>
        <w:tab w:val="left" w:pos="567"/>
      </w:tabs>
      <w:ind w:left="567" w:hanging="567"/>
    </w:pPr>
  </w:style>
  <w:style w:type="paragraph" w:customStyle="1" w:styleId="3Einrckung">
    <w:name w:val="3. Einrückung"/>
    <w:basedOn w:val="Standard"/>
    <w:uiPriority w:val="2"/>
    <w:qFormat/>
    <w:rsid w:val="009B0BA2"/>
    <w:pPr>
      <w:tabs>
        <w:tab w:val="left" w:pos="567"/>
        <w:tab w:val="left" w:pos="1134"/>
        <w:tab w:val="left" w:pos="1701"/>
      </w:tabs>
      <w:ind w:left="1701" w:hanging="567"/>
    </w:pPr>
  </w:style>
  <w:style w:type="character" w:customStyle="1" w:styleId="berschrift1Zchn">
    <w:name w:val="Überschrift 1 Zchn"/>
    <w:aliases w:val="1. Überschrift Zchn"/>
    <w:link w:val="berschrift1"/>
    <w:uiPriority w:val="1"/>
    <w:rsid w:val="00E00A39"/>
    <w:rPr>
      <w:rFonts w:ascii="Arial" w:eastAsia="Times New Roman" w:hAnsi="Arial" w:cs="Times New Roman"/>
      <w:b/>
      <w:bCs/>
      <w:sz w:val="28"/>
      <w:szCs w:val="28"/>
      <w:lang w:val="en-GB" w:eastAsia="en-GB"/>
    </w:rPr>
  </w:style>
  <w:style w:type="paragraph" w:styleId="KeinLeerraum">
    <w:name w:val="No Spacing"/>
    <w:basedOn w:val="Standard"/>
    <w:uiPriority w:val="4"/>
    <w:semiHidden/>
    <w:unhideWhenUsed/>
    <w:rsid w:val="000F1C7E"/>
  </w:style>
  <w:style w:type="table" w:styleId="Tabellenraster">
    <w:name w:val="Table Grid"/>
    <w:basedOn w:val="NormaleTabelle"/>
    <w:rsid w:val="00165E31"/>
    <w:rPr>
      <w:rFonts w:ascii="Arial" w:eastAsia="Times New Roman"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link w:val="berschrift4"/>
    <w:uiPriority w:val="9"/>
    <w:semiHidden/>
    <w:rsid w:val="00B969D6"/>
    <w:rPr>
      <w:rFonts w:ascii="Arial" w:eastAsia="Times New Roman" w:hAnsi="Arial" w:cs="Times New Roman"/>
      <w:bCs/>
      <w:iCs/>
      <w:color w:val="4F81BD"/>
      <w:lang w:val="en-GB" w:eastAsia="en-GB"/>
    </w:rPr>
  </w:style>
  <w:style w:type="character" w:styleId="Hyperlink">
    <w:name w:val="Hyperlink"/>
    <w:rsid w:val="00FE18FB"/>
    <w:rPr>
      <w:color w:val="0000FF"/>
      <w:u w:val="single"/>
      <w:lang w:val="en-GB" w:eastAsia="en-GB"/>
    </w:rPr>
  </w:style>
  <w:style w:type="table" w:customStyle="1" w:styleId="TableNormal1">
    <w:name w:val="Table Normal1"/>
    <w:uiPriority w:val="2"/>
    <w:semiHidden/>
    <w:unhideWhenUsed/>
    <w:qFormat/>
    <w:rsid w:val="002D1773"/>
    <w:pPr>
      <w:widowControl w:val="0"/>
    </w:pPr>
    <w:rPr>
      <w:sz w:val="22"/>
      <w:szCs w:val="22"/>
      <w:lang w:val="en-US" w:eastAsia="en-US"/>
    </w:rPr>
    <w:tblPr>
      <w:tblInd w:w="0" w:type="dxa"/>
      <w:tblCellMar>
        <w:top w:w="0" w:type="dxa"/>
        <w:left w:w="0" w:type="dxa"/>
        <w:bottom w:w="0" w:type="dxa"/>
        <w:right w:w="0" w:type="dxa"/>
      </w:tblCellMar>
    </w:tblPr>
  </w:style>
  <w:style w:type="paragraph" w:styleId="Textkrper">
    <w:name w:val="Body Text"/>
    <w:basedOn w:val="Standard"/>
    <w:link w:val="TextkrperZchn"/>
    <w:uiPriority w:val="1"/>
    <w:qFormat/>
    <w:rsid w:val="002D1773"/>
    <w:pPr>
      <w:widowControl w:val="0"/>
    </w:pPr>
    <w:rPr>
      <w:rFonts w:eastAsia="Arial"/>
      <w:b/>
      <w:bCs/>
      <w:sz w:val="28"/>
      <w:szCs w:val="28"/>
    </w:rPr>
  </w:style>
  <w:style w:type="character" w:customStyle="1" w:styleId="TextkrperZchn">
    <w:name w:val="Textkörper Zchn"/>
    <w:link w:val="Textkrper"/>
    <w:uiPriority w:val="1"/>
    <w:rsid w:val="002D1773"/>
    <w:rPr>
      <w:rFonts w:ascii="Arial" w:eastAsia="Arial" w:hAnsi="Arial" w:cs="Arial"/>
      <w:b/>
      <w:bCs/>
      <w:sz w:val="28"/>
      <w:szCs w:val="28"/>
      <w:lang w:val="en-GB" w:eastAsia="en-GB"/>
    </w:rPr>
  </w:style>
  <w:style w:type="paragraph" w:customStyle="1" w:styleId="TableParagraph">
    <w:name w:val="Table Paragraph"/>
    <w:basedOn w:val="Standard"/>
    <w:uiPriority w:val="1"/>
    <w:qFormat/>
    <w:rsid w:val="002D1773"/>
    <w:pPr>
      <w:widowControl w:val="0"/>
      <w:spacing w:before="141"/>
      <w:ind w:left="200"/>
    </w:pPr>
    <w:rPr>
      <w:rFonts w:eastAsia="Arial"/>
    </w:rPr>
  </w:style>
  <w:style w:type="character" w:styleId="BesuchterLink">
    <w:name w:val="FollowedHyperlink"/>
    <w:uiPriority w:val="99"/>
    <w:semiHidden/>
    <w:unhideWhenUsed/>
    <w:rsid w:val="005C7F61"/>
    <w:rPr>
      <w:color w:val="800080"/>
      <w:u w:val="single"/>
      <w:lang w:val="en-GB" w:eastAsia="en-GB"/>
    </w:rPr>
  </w:style>
  <w:style w:type="character" w:styleId="Kommentarzeichen">
    <w:name w:val="annotation reference"/>
    <w:uiPriority w:val="99"/>
    <w:semiHidden/>
    <w:unhideWhenUsed/>
    <w:rsid w:val="00C64E1D"/>
    <w:rPr>
      <w:sz w:val="16"/>
      <w:szCs w:val="16"/>
      <w:lang w:val="en-GB" w:eastAsia="en-GB"/>
    </w:rPr>
  </w:style>
  <w:style w:type="paragraph" w:styleId="Kommentartext">
    <w:name w:val="annotation text"/>
    <w:basedOn w:val="Standard"/>
    <w:link w:val="KommentartextZchn"/>
    <w:uiPriority w:val="99"/>
    <w:semiHidden/>
    <w:unhideWhenUsed/>
    <w:rsid w:val="00C64E1D"/>
    <w:rPr>
      <w:sz w:val="20"/>
      <w:szCs w:val="20"/>
    </w:rPr>
  </w:style>
  <w:style w:type="character" w:customStyle="1" w:styleId="KommentartextZchn">
    <w:name w:val="Kommentartext Zchn"/>
    <w:link w:val="Kommentartext"/>
    <w:uiPriority w:val="99"/>
    <w:semiHidden/>
    <w:rsid w:val="00C64E1D"/>
    <w:rPr>
      <w:rFonts w:ascii="Arial" w:hAnsi="Arial"/>
      <w:sz w:val="20"/>
      <w:szCs w:val="20"/>
      <w:lang w:val="en-GB" w:eastAsia="en-GB"/>
    </w:rPr>
  </w:style>
  <w:style w:type="paragraph" w:styleId="Kommentarthema">
    <w:name w:val="annotation subject"/>
    <w:basedOn w:val="Kommentartext"/>
    <w:next w:val="Kommentartext"/>
    <w:link w:val="KommentarthemaZchn"/>
    <w:uiPriority w:val="99"/>
    <w:semiHidden/>
    <w:unhideWhenUsed/>
    <w:rsid w:val="00C64E1D"/>
    <w:rPr>
      <w:b/>
      <w:bCs/>
    </w:rPr>
  </w:style>
  <w:style w:type="character" w:customStyle="1" w:styleId="KommentarthemaZchn">
    <w:name w:val="Kommentarthema Zchn"/>
    <w:link w:val="Kommentarthema"/>
    <w:uiPriority w:val="99"/>
    <w:semiHidden/>
    <w:rsid w:val="00C64E1D"/>
    <w:rPr>
      <w:rFonts w:ascii="Arial" w:hAnsi="Arial"/>
      <w:b/>
      <w:bCs/>
      <w:sz w:val="20"/>
      <w:szCs w:val="20"/>
      <w:lang w:val="en-GB" w:eastAsia="en-GB"/>
    </w:rPr>
  </w:style>
  <w:style w:type="paragraph" w:styleId="Listenabsatz">
    <w:name w:val="List Paragraph"/>
    <w:basedOn w:val="Standard"/>
    <w:uiPriority w:val="34"/>
    <w:qFormat/>
    <w:rsid w:val="00C64E1D"/>
    <w:pPr>
      <w:ind w:left="720"/>
      <w:contextualSpacing/>
    </w:pPr>
  </w:style>
  <w:style w:type="character" w:customStyle="1" w:styleId="Mention">
    <w:name w:val="Mention"/>
    <w:uiPriority w:val="99"/>
    <w:semiHidden/>
    <w:unhideWhenUsed/>
    <w:rsid w:val="004F68D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peaid/companion/annexes.d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iz.de/en/downloads/giz2013-en-Binding_agreement_on_the_rules.docx" TargetMode="External"/><Relationship Id="rId4" Type="http://schemas.openxmlformats.org/officeDocument/2006/relationships/settings" Target="settings.xml"/><Relationship Id="rId9" Type="http://schemas.openxmlformats.org/officeDocument/2006/relationships/hyperlink" Target="http://ec.europa.eu/europeaid/node/17974"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GTZ-Muster\GTZ-Vorlagen\Vertraege-Unternehmen\anlage-pagoda-en.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D53A5-1EDF-4F93-8D8A-E6EA17BE6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anlage-pagoda-en.dotx</Template>
  <TotalTime>0</TotalTime>
  <Pages>2</Pages>
  <Words>473</Words>
  <Characters>2919</Characters>
  <Application>Microsoft Office Word</Application>
  <DocSecurity>0</DocSecurity>
  <Lines>56</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Annex on PAGoDA: Supplements to the ‘General terms and conditions of contract (Terms and Conditions) for supplying services and work on behalf of the Deutsche Gesellschaft für Internationale Zusammenarbeit (GIZ) GmbH’ (August 2014), Stand: April 2017 </vt:lpstr>
      <vt:lpstr/>
    </vt:vector>
  </TitlesOfParts>
  <Company>GIZ GmbH</Company>
  <LinksUpToDate>false</LinksUpToDate>
  <CharactersWithSpaces>3371</CharactersWithSpaces>
  <SharedDoc>false</SharedDoc>
  <HLinks>
    <vt:vector size="18" baseType="variant">
      <vt:variant>
        <vt:i4>6750260</vt:i4>
      </vt:variant>
      <vt:variant>
        <vt:i4>6</vt:i4>
      </vt:variant>
      <vt:variant>
        <vt:i4>0</vt:i4>
      </vt:variant>
      <vt:variant>
        <vt:i4>5</vt:i4>
      </vt:variant>
      <vt:variant>
        <vt:lpwstr>https://www.giz.de/en/downloads/giz2013-en-Binding_agreement_on_the_rules.docx</vt:lpwstr>
      </vt:variant>
      <vt:variant>
        <vt:lpwstr/>
      </vt:variant>
      <vt:variant>
        <vt:i4>6160401</vt:i4>
      </vt:variant>
      <vt:variant>
        <vt:i4>3</vt:i4>
      </vt:variant>
      <vt:variant>
        <vt:i4>0</vt:i4>
      </vt:variant>
      <vt:variant>
        <vt:i4>5</vt:i4>
      </vt:variant>
      <vt:variant>
        <vt:lpwstr>http://ec.europa.eu/europeaid/node/17974</vt:lpwstr>
      </vt:variant>
      <vt:variant>
        <vt:lpwstr/>
      </vt:variant>
      <vt:variant>
        <vt:i4>7733308</vt:i4>
      </vt:variant>
      <vt:variant>
        <vt:i4>0</vt:i4>
      </vt:variant>
      <vt:variant>
        <vt:i4>0</vt:i4>
      </vt:variant>
      <vt:variant>
        <vt:i4>5</vt:i4>
      </vt:variant>
      <vt:variant>
        <vt:lpwstr>http://ec.europa.eu/europeaid/companion/annexes.do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on PAGoDA: Supplements to the ‘General terms and conditions of contract (Terms and Conditions) for supplying services and work on behalf of the Deutsche Gesellschaft für Internationale Zusammenarbeit (GIZ) GmbH’ (August 2014), Stand: April 2017</dc:title>
  <dc:creator>Carlie Ann Tilghman</dc:creator>
  <cp:lastModifiedBy>Tilghman, Carlie Ann GIZ</cp:lastModifiedBy>
  <cp:revision>1</cp:revision>
  <dcterms:created xsi:type="dcterms:W3CDTF">2018-11-07T16:47:00Z</dcterms:created>
  <dcterms:modified xsi:type="dcterms:W3CDTF">2018-11-07T16:47:00Z</dcterms:modified>
</cp:coreProperties>
</file>